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ook w:firstColumn="1" w:firstRow="1" w:lastColumn="0" w:lastRow="0" w:noHBand="0" w:noVBand="1" w:val="04A0"/>
      </w:tblPr>
      <w:tblGrid>
        <w:gridCol w:w="8640"/>
      </w:tblGrid>
      <w:tr>
        <w:tc>
          <w:tcPr>
            <w:tcW w:type="dxa" w:w="8640"/>
            <w:shd w:val="clear" w:color="auto" w:fill="0A192F"/>
            <w:tcBorders>
              <w:top w:val="single" w:sz="0" w:space="0" w:color="0A192F"/>
              <w:left w:val="single" w:sz="0" w:space="0" w:color="0A192F"/>
              <w:bottom w:val="single" w:sz="0" w:space="0" w:color="0A192F"/>
              <w:right w:val="single" w:sz="0" w:space="0" w:color="0A192F"/>
            </w:tcBorders>
          </w:tcPr>
          <w:p>
            <w:r>
              <w:rPr>
                <w:sz w:val="32"/>
              </w:rPr>
              <w:t xml:space="preserve">  </w:t>
            </w:r>
          </w:p>
        </w:tc>
      </w:tr>
    </w:tbl>
    <w:tbl>
      <w:tblPr>
        <w:tblW w:type="auto" w:w="0"/>
        <w:tblLook w:firstColumn="1" w:firstRow="1" w:lastColumn="0" w:lastRow="0" w:noHBand="0" w:noVBand="1" w:val="04A0"/>
      </w:tblPr>
      <w:tblGrid>
        <w:gridCol w:w="8640"/>
      </w:tblGrid>
      <w:tr>
        <w:tc>
          <w:tcPr>
            <w:tcW w:type="dxa" w:w="8640"/>
            <w:shd w:val="clear" w:color="auto" w:fill="B8956B"/>
            <w:tcBorders>
              <w:top w:val="single" w:sz="0" w:space="0" w:color="B8956B"/>
              <w:left w:val="single" w:sz="0" w:space="0" w:color="B8956B"/>
              <w:bottom w:val="single" w:sz="0" w:space="0" w:color="B8956B"/>
              <w:right w:val="single" w:sz="0" w:space="0" w:color="B8956B"/>
            </w:tcBorders>
          </w:tcPr>
          <w:p>
            <w:r>
              <w:rPr>
                <w:sz w:val="6"/>
              </w:rPr>
              <w:t xml:space="preserve"> </w:t>
            </w:r>
          </w:p>
        </w:tc>
      </w:tr>
    </w:tbl>
    <w:p/>
    <w:p/>
    <w:p/>
    <w:p>
      <w:pPr>
        <w:spacing w:after="160"/>
        <w:jc w:val="left"/>
      </w:pPr>
      <w:r>
        <w:rPr>
          <w:rFonts w:ascii="Calibri" w:hAnsi="Calibri"/>
          <w:b/>
          <w:color w:val="B8956B"/>
          <w:sz w:val="18"/>
        </w:rPr>
        <w:t>PROPOSAL</w:t>
      </w:r>
    </w:p>
    <w:p>
      <w:pPr>
        <w:spacing w:after="200"/>
        <w:jc w:val="left"/>
        <w:bidi w:val="1"/>
      </w:pPr>
      <w:r>
        <w:rPr>
          <w:rFonts w:ascii="Calibri" w:hAnsi="Calibri"/>
          <w:b/>
          <w:color w:val="0A192F"/>
          <w:sz w:val="56"/>
          <w:rtl w:val="1"/>
        </w:rPr>
        <w:t>دليل المواقع التفاعلية</w:t>
      </w:r>
    </w:p>
    <w:p>
      <w:pPr>
        <w:pBdr>
          <w:bottom w:val="single" w:sz="18" w:space="1" w:color="B8956B"/>
        </w:pBdr>
        <w:spacing w:after="280"/>
      </w:pPr>
    </w:p>
    <w:p>
      <w:pPr>
        <w:spacing w:after="360"/>
        <w:jc w:val="left"/>
        <w:bidi w:val="1"/>
      </w:pPr>
      <w:r>
        <w:rPr>
          <w:rFonts w:ascii="Calibri" w:hAnsi="Calibri"/>
          <w:color w:val="1B3A5F"/>
          <w:sz w:val="26"/>
          <w:rtl w:val="1"/>
        </w:rPr>
        <w:t>محافظة شمال الباطنة — دائرة المشاريع · حزمة المواقع المحفوظة في المحفظة · 21 أكتوبر 2026</w:t>
      </w:r>
    </w:p>
    <w:tbl>
      <w:tblPr>
        <w:tblW w:type="auto" w:w="0"/>
        <w:tblLook w:firstColumn="1" w:firstRow="1" w:lastColumn="0" w:lastRow="0" w:noHBand="0" w:noVBand="1" w:val="04A0"/>
      </w:tblPr>
      <w:tblGrid>
        <w:gridCol w:w="2880"/>
        <w:gridCol w:w="2880"/>
        <w:gridCol w:w="2880"/>
      </w:tblGrid>
      <w:tr>
        <w:tc>
          <w:tcPr>
            <w:tcW w:type="dxa" w:w="2880"/>
            <w:shd w:val="clear" w:color="auto" w:fill="F7F5F0"/>
            <w:tcBorders>
              <w:top w:val="single" w:sz="4" w:space="0" w:color="E8E2D9"/>
              <w:left w:val="single" w:sz="4" w:space="0" w:color="E8E2D9"/>
              <w:bottom w:val="single" w:sz="4" w:space="0" w:color="E8E2D9"/>
              <w:right w:val="single" w:sz="4" w:space="0" w:color="E8E2D9"/>
            </w:tcBorders>
          </w:tcPr>
          <w:p>
            <w:r/>
            <w:r>
              <w:rPr>
                <w:rFonts w:ascii="Calibri" w:hAnsi="Calibri"/>
                <w:b/>
                <w:color w:val="B8956B"/>
                <w:sz w:val="16"/>
              </w:rPr>
              <w:t>PREPARED BY</w:t>
            </w:r>
          </w:p>
          <w:p>
            <w:pPr>
              <w:jc w:val="right"/>
              <w:bidi w:val="1"/>
            </w:pPr>
            <w:r>
              <w:rPr>
                <w:rFonts w:ascii="Calibri" w:hAnsi="Calibri"/>
                <w:color w:val="0A192F"/>
                <w:sz w:val="22"/>
              </w:rPr>
              <w:t>مبحث للبحث والتطوير — منصة سنا</w:t>
            </w:r>
          </w:p>
        </w:tc>
        <w:tc>
          <w:tcPr>
            <w:tcW w:type="dxa" w:w="2880"/>
            <w:shd w:val="clear" w:color="auto" w:fill="F7F5F0"/>
            <w:tcBorders>
              <w:top w:val="single" w:sz="4" w:space="0" w:color="E8E2D9"/>
              <w:left w:val="single" w:sz="4" w:space="0" w:color="E8E2D9"/>
              <w:bottom w:val="single" w:sz="4" w:space="0" w:color="E8E2D9"/>
              <w:right w:val="single" w:sz="4" w:space="0" w:color="E8E2D9"/>
            </w:tcBorders>
          </w:tcPr>
          <w:p>
            <w:r/>
            <w:r>
              <w:rPr>
                <w:rFonts w:ascii="Calibri" w:hAnsi="Calibri"/>
                <w:b/>
                <w:color w:val="B8956B"/>
                <w:sz w:val="16"/>
              </w:rPr>
              <w:t>DATE</w:t>
            </w:r>
          </w:p>
          <w:p>
            <w:r>
              <w:rPr>
                <w:rFonts w:ascii="Calibri" w:hAnsi="Calibri"/>
                <w:color w:val="0A192F"/>
                <w:sz w:val="22"/>
              </w:rPr>
              <w:t>2026-10-21</w:t>
            </w:r>
          </w:p>
        </w:tc>
        <w:tc>
          <w:tcPr>
            <w:tcW w:type="dxa" w:w="2880"/>
            <w:shd w:val="clear" w:color="auto" w:fill="F7F5F0"/>
            <w:tcBorders>
              <w:top w:val="single" w:sz="4" w:space="0" w:color="E8E2D9"/>
              <w:left w:val="single" w:sz="4" w:space="0" w:color="E8E2D9"/>
              <w:bottom w:val="single" w:sz="4" w:space="0" w:color="E8E2D9"/>
              <w:right w:val="single" w:sz="4" w:space="0" w:color="E8E2D9"/>
            </w:tcBorders>
          </w:tcPr>
          <w:p>
            <w:r/>
            <w:r>
              <w:rPr>
                <w:rFonts w:ascii="Calibri" w:hAnsi="Calibri"/>
                <w:b/>
                <w:color w:val="B8956B"/>
                <w:sz w:val="16"/>
              </w:rPr>
              <w:t>STATUS</w:t>
            </w:r>
          </w:p>
          <w:p>
            <w:r>
              <w:rPr>
                <w:rFonts w:ascii="Calibri" w:hAnsi="Calibri"/>
                <w:color w:val="0A192F"/>
                <w:sz w:val="22"/>
              </w:rPr>
              <w:t>Confidential</w:t>
            </w:r>
          </w:p>
        </w:tc>
      </w:tr>
    </w:tbl>
    <w:p>
      <w:pPr>
        <w:spacing w:before="480"/>
      </w:pPr>
    </w:p>
    <w:p>
      <w:r>
        <w:br w:type="page"/>
      </w:r>
    </w:p>
    <w:p>
      <w:pPr>
        <w:spacing w:after="160" w:line="276" w:lineRule="auto"/>
        <w:jc w:val="right"/>
        <w:bidi w:val="1"/>
      </w:pPr>
      <w:r>
        <w:rPr>
          <w:rFonts w:ascii="Calibri" w:hAnsi="Calibri"/>
          <w:color w:val="1A202C"/>
          <w:sz w:val="22"/>
          <w:rtl w:val="1"/>
        </w:rPr>
        <w:t>يجمع هذا الدليل المواقع التفاعلية التي أُعدّت لدائرة المشاريع، ويحدد لكل موقع غرضه ورابطه الحي وحزمته الجاهزة للتشغيل دون خادم. الحزم محفوظة في مجلد «المواقع التفاعلية» داخل مجلد «05 — تسليم المشاريع» في محفظة المشاريع، وكل حزمة ملف مضغوط يعمل بفتح index.html مباشرة.</w:t>
      </w:r>
    </w:p>
    <w:p>
      <w:pPr>
        <w:pStyle w:val="Heading1"/>
        <w:spacing w:before="360" w:after="160"/>
        <w:jc w:val="right"/>
        <w:keepNext/>
        <w:bidi w:val="1"/>
        <w:pBdr>
          <w:bottom w:val="single" w:sz="12" w:space="6" w:color="B8956B"/>
        </w:pBdr>
      </w:pPr>
      <w:r>
        <w:rPr>
          <w:rFonts w:ascii="Calibri" w:hAnsi="Calibri"/>
          <w:b/>
          <w:color w:val="0A192F"/>
          <w:sz w:val="44"/>
          <w:rtl w:val="1"/>
        </w:rPr>
        <w:t>1. جدول المواقع</w:t>
      </w:r>
    </w:p>
    <w:tbl>
      <w:tblPr>
        <w:tblStyle w:val="TableGrid"/>
        <w:tblW w:type="auto" w:w="0"/>
        <w:tblLayout w:type="autofit"/>
        <w:tblLook w:firstColumn="1" w:firstRow="1" w:lastColumn="0" w:lastRow="0" w:noHBand="0" w:noVBand="1" w:val="04A0"/>
      </w:tblPr>
      <w:tblGrid>
        <w:gridCol w:w="2160"/>
        <w:gridCol w:w="2160"/>
        <w:gridCol w:w="2160"/>
        <w:gridCol w:w="2160"/>
      </w:tblGrid>
      <w:tr>
        <w:tc>
          <w:tcPr>
            <w:tcW w:type="dxa" w:w="2160"/>
            <w:shd w:val="clear" w:color="auto" w:fill="0A192F"/>
            <w:tcBorders>
              <w:top w:val="single" w:sz="4" w:space="0" w:color="0A192F"/>
              <w:left w:val="single" w:sz="4" w:space="0" w:color="0A192F"/>
              <w:bottom w:val="single" w:sz="4" w:space="0" w:color="0A192F"/>
              <w:right w:val="single" w:sz="4" w:space="0" w:color="0A192F"/>
            </w:tcBorders>
          </w:tcPr>
          <w:p>
            <w:pPr>
              <w:spacing w:before="80" w:after="80"/>
            </w:pPr>
            <w:r/>
            <w:r>
              <w:rPr>
                <w:rFonts w:ascii="Calibri" w:hAnsi="Calibri"/>
                <w:b/>
                <w:color w:val="F8FAFC"/>
                <w:sz w:val="20"/>
              </w:rPr>
              <w:t>#</w:t>
            </w:r>
          </w:p>
        </w:tc>
        <w:tc>
          <w:tcPr>
            <w:tcW w:type="dxa" w:w="2160"/>
            <w:shd w:val="clear" w:color="auto" w:fill="0A192F"/>
            <w:tcBorders>
              <w:top w:val="single" w:sz="4" w:space="0" w:color="0A192F"/>
              <w:left w:val="single" w:sz="4" w:space="0" w:color="0A192F"/>
              <w:bottom w:val="single" w:sz="4" w:space="0" w:color="0A192F"/>
              <w:right w:val="single" w:sz="4" w:space="0" w:color="0A192F"/>
            </w:tcBorders>
          </w:tcPr>
          <w:p>
            <w:pPr>
              <w:spacing w:before="80" w:after="80"/>
              <w:jc w:val="right"/>
              <w:bidi w:val="1"/>
            </w:pPr>
            <w:r/>
            <w:r>
              <w:rPr>
                <w:rFonts w:ascii="Calibri" w:hAnsi="Calibri"/>
                <w:b/>
                <w:color w:val="F8FAFC"/>
                <w:sz w:val="20"/>
                <w:rtl w:val="1"/>
              </w:rPr>
              <w:t>الموقع</w:t>
            </w:r>
          </w:p>
        </w:tc>
        <w:tc>
          <w:tcPr>
            <w:tcW w:type="dxa" w:w="2160"/>
            <w:shd w:val="clear" w:color="auto" w:fill="0A192F"/>
            <w:tcBorders>
              <w:top w:val="single" w:sz="4" w:space="0" w:color="0A192F"/>
              <w:left w:val="single" w:sz="4" w:space="0" w:color="0A192F"/>
              <w:bottom w:val="single" w:sz="4" w:space="0" w:color="0A192F"/>
              <w:right w:val="single" w:sz="4" w:space="0" w:color="0A192F"/>
            </w:tcBorders>
          </w:tcPr>
          <w:p>
            <w:pPr>
              <w:spacing w:before="80" w:after="80"/>
              <w:jc w:val="right"/>
              <w:bidi w:val="1"/>
            </w:pPr>
            <w:r/>
            <w:r>
              <w:rPr>
                <w:rFonts w:ascii="Calibri" w:hAnsi="Calibri"/>
                <w:b/>
                <w:color w:val="F8FAFC"/>
                <w:sz w:val="20"/>
                <w:rtl w:val="1"/>
              </w:rPr>
              <w:t>الغرض</w:t>
            </w:r>
          </w:p>
        </w:tc>
        <w:tc>
          <w:tcPr>
            <w:tcW w:type="dxa" w:w="2160"/>
            <w:shd w:val="clear" w:color="auto" w:fill="0A192F"/>
            <w:tcBorders>
              <w:top w:val="single" w:sz="4" w:space="0" w:color="0A192F"/>
              <w:left w:val="single" w:sz="4" w:space="0" w:color="0A192F"/>
              <w:bottom w:val="single" w:sz="4" w:space="0" w:color="0A192F"/>
              <w:right w:val="single" w:sz="4" w:space="0" w:color="0A192F"/>
            </w:tcBorders>
          </w:tcPr>
          <w:p>
            <w:pPr>
              <w:spacing w:before="80" w:after="80"/>
              <w:jc w:val="right"/>
              <w:bidi w:val="1"/>
            </w:pPr>
            <w:r/>
            <w:r>
              <w:rPr>
                <w:rFonts w:ascii="Calibri" w:hAnsi="Calibri"/>
                <w:b/>
                <w:color w:val="F8FAFC"/>
                <w:sz w:val="20"/>
                <w:rtl w:val="1"/>
              </w:rPr>
              <w:t>الحالة</w:t>
            </w:r>
          </w:p>
        </w:tc>
      </w:tr>
      <w:tr>
        <w:tc>
          <w:tcPr>
            <w:tcW w:type="dxa" w:w="2160"/>
            <w:shd w:val="clear" w:color="auto" w:fill="F7F5F0"/>
            <w:tcBorders>
              <w:top w:val="single" w:sz="4" w:space="0" w:color="CBD5E1"/>
              <w:left w:val="single" w:sz="4" w:space="0" w:color="CBD5E1"/>
              <w:bottom w:val="single" w:sz="4" w:space="0" w:color="CBD5E1"/>
              <w:right w:val="single" w:sz="4" w:space="0" w:color="CBD5E1"/>
            </w:tcBorders>
          </w:tcPr>
          <w:p>
            <w:pPr>
              <w:spacing w:before="60" w:after="60"/>
            </w:pPr>
            <w:r/>
            <w:r>
              <w:rPr>
                <w:rFonts w:ascii="Calibri" w:hAnsi="Calibri"/>
                <w:color w:val="1A202C"/>
                <w:sz w:val="20"/>
              </w:rPr>
              <w:t>01</w:t>
            </w:r>
          </w:p>
        </w:tc>
        <w:tc>
          <w:tcPr>
            <w:tcW w:type="dxa" w:w="2160"/>
            <w:shd w:val="clear" w:color="auto" w:fill="F7F5F0"/>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متابعة المشاريع — دائرة المشاريع</w:t>
            </w:r>
          </w:p>
        </w:tc>
        <w:tc>
          <w:tcPr>
            <w:tcW w:type="dxa" w:w="2160"/>
            <w:shd w:val="clear" w:color="auto" w:fill="F7F5F0"/>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لوحة متابعة المشاريع: نسب الإنجاز، الملاحظات، المستخلصات، والتقارير</w:t>
            </w:r>
          </w:p>
        </w:tc>
        <w:tc>
          <w:tcPr>
            <w:tcW w:type="dxa" w:w="2160"/>
            <w:shd w:val="clear" w:color="auto" w:fill="F7F5F0"/>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منشور</w:t>
            </w:r>
          </w:p>
        </w:tc>
      </w:tr>
      <w:tr>
        <w:tc>
          <w:tcPr>
            <w:tcW w:type="dxa" w:w="2160"/>
            <w:shd w:val="clear" w:color="auto" w:fill="FFFFFF"/>
            <w:tcBorders>
              <w:top w:val="single" w:sz="4" w:space="0" w:color="CBD5E1"/>
              <w:left w:val="single" w:sz="4" w:space="0" w:color="CBD5E1"/>
              <w:bottom w:val="single" w:sz="4" w:space="0" w:color="CBD5E1"/>
              <w:right w:val="single" w:sz="4" w:space="0" w:color="CBD5E1"/>
            </w:tcBorders>
          </w:tcPr>
          <w:p>
            <w:pPr>
              <w:spacing w:before="60" w:after="60"/>
            </w:pPr>
            <w:r/>
            <w:r>
              <w:rPr>
                <w:rFonts w:ascii="Calibri" w:hAnsi="Calibri"/>
                <w:color w:val="1A202C"/>
                <w:sz w:val="20"/>
              </w:rPr>
              <w:t>02</w:t>
            </w:r>
          </w:p>
        </w:tc>
        <w:tc>
          <w:tcPr>
            <w:tcW w:type="dxa" w:w="2160"/>
            <w:shd w:val="clear" w:color="auto" w:fill="FFFFFF"/>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إدارة المشاريع — تحليل الملفات والمطلوب</w:t>
            </w:r>
          </w:p>
        </w:tc>
        <w:tc>
          <w:tcPr>
            <w:tcW w:type="dxa" w:w="2160"/>
            <w:shd w:val="clear" w:color="auto" w:fill="FFFFFF"/>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رفع المستندات، استخراج المؤشرات الفنية، وتوليد بنود مطلوبة مربوطة بالمصدر</w:t>
            </w:r>
          </w:p>
        </w:tc>
        <w:tc>
          <w:tcPr>
            <w:tcW w:type="dxa" w:w="2160"/>
            <w:shd w:val="clear" w:color="auto" w:fill="FFFFFF"/>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منشور</w:t>
            </w:r>
          </w:p>
        </w:tc>
      </w:tr>
      <w:tr>
        <w:tc>
          <w:tcPr>
            <w:tcW w:type="dxa" w:w="2160"/>
            <w:shd w:val="clear" w:color="auto" w:fill="F7F5F0"/>
            <w:tcBorders>
              <w:top w:val="single" w:sz="4" w:space="0" w:color="CBD5E1"/>
              <w:left w:val="single" w:sz="4" w:space="0" w:color="CBD5E1"/>
              <w:bottom w:val="single" w:sz="4" w:space="0" w:color="CBD5E1"/>
              <w:right w:val="single" w:sz="4" w:space="0" w:color="CBD5E1"/>
            </w:tcBorders>
          </w:tcPr>
          <w:p>
            <w:pPr>
              <w:spacing w:before="60" w:after="60"/>
            </w:pPr>
            <w:r/>
            <w:r>
              <w:rPr>
                <w:rFonts w:ascii="Calibri" w:hAnsi="Calibri"/>
                <w:color w:val="1A202C"/>
                <w:sz w:val="20"/>
              </w:rPr>
              <w:t>03</w:t>
            </w:r>
          </w:p>
        </w:tc>
        <w:tc>
          <w:tcPr>
            <w:tcW w:type="dxa" w:w="2160"/>
            <w:shd w:val="clear" w:color="auto" w:fill="F7F5F0"/>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لوحة متابعة مشروع إنارة لوى</w:t>
            </w:r>
          </w:p>
        </w:tc>
        <w:tc>
          <w:tcPr>
            <w:tcW w:type="dxa" w:w="2160"/>
            <w:shd w:val="clear" w:color="auto" w:fill="F7F5F0"/>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متابعة تنفيذية لمشروع الإنارة: البنود، الكميات، الفحص، والصور</w:t>
            </w:r>
          </w:p>
        </w:tc>
        <w:tc>
          <w:tcPr>
            <w:tcW w:type="dxa" w:w="2160"/>
            <w:shd w:val="clear" w:color="auto" w:fill="F7F5F0"/>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منشور</w:t>
            </w:r>
          </w:p>
        </w:tc>
      </w:tr>
      <w:tr>
        <w:tc>
          <w:tcPr>
            <w:tcW w:type="dxa" w:w="2160"/>
            <w:shd w:val="clear" w:color="auto" w:fill="FFFFFF"/>
            <w:tcBorders>
              <w:top w:val="single" w:sz="4" w:space="0" w:color="CBD5E1"/>
              <w:left w:val="single" w:sz="4" w:space="0" w:color="CBD5E1"/>
              <w:bottom w:val="single" w:sz="4" w:space="0" w:color="CBD5E1"/>
              <w:right w:val="single" w:sz="4" w:space="0" w:color="CBD5E1"/>
            </w:tcBorders>
          </w:tcPr>
          <w:p>
            <w:pPr>
              <w:spacing w:before="60" w:after="60"/>
            </w:pPr>
            <w:r/>
            <w:r>
              <w:rPr>
                <w:rFonts w:ascii="Calibri" w:hAnsi="Calibri"/>
                <w:color w:val="1A202C"/>
                <w:sz w:val="20"/>
              </w:rPr>
              <w:t>04</w:t>
            </w:r>
          </w:p>
        </w:tc>
        <w:tc>
          <w:tcPr>
            <w:tcW w:type="dxa" w:w="2160"/>
            <w:shd w:val="clear" w:color="auto" w:fill="FFFFFF"/>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رسومات مشروع إنارة لوى</w:t>
            </w:r>
          </w:p>
        </w:tc>
        <w:tc>
          <w:tcPr>
            <w:tcW w:type="dxa" w:w="2160"/>
            <w:shd w:val="clear" w:color="auto" w:fill="FFFFFF"/>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حزمة المخططات التنفيذية DXF مع صفحة عرض وفهرس</w:t>
            </w:r>
          </w:p>
        </w:tc>
        <w:tc>
          <w:tcPr>
            <w:tcW w:type="dxa" w:w="2160"/>
            <w:shd w:val="clear" w:color="auto" w:fill="FFFFFF"/>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حزمة فقط — غير منشور</w:t>
            </w:r>
          </w:p>
        </w:tc>
      </w:tr>
    </w:tbl>
    <w:p>
      <w:pPr>
        <w:spacing w:after="120"/>
      </w:pPr>
    </w:p>
    <w:p>
      <w:pPr>
        <w:pStyle w:val="Heading2"/>
        <w:spacing w:before="240" w:after="80"/>
        <w:jc w:val="right"/>
        <w:bidi w:val="1"/>
        <w:pBdr>
          <w:bottom w:val="single" w:sz="6" w:space="3" w:color="1B3A5F"/>
        </w:pBdr>
      </w:pPr>
      <w:r>
        <w:rPr>
          <w:rFonts w:ascii="Calibri" w:hAnsi="Calibri"/>
          <w:b/>
          <w:color w:val="1B3A5F"/>
          <w:sz w:val="30"/>
          <w:rtl w:val="1"/>
        </w:rPr>
        <w:t>1.1 الروابط الحية</w:t>
      </w:r>
    </w:p>
    <w:p>
      <w:pPr>
        <w:spacing w:after="60"/>
        <w:ind w:right="504"/>
        <w:jc w:val="right"/>
        <w:bidi w:val="1"/>
      </w:pPr>
      <w:r>
        <w:rPr>
          <w:rFonts w:ascii="Calibri" w:hAnsi="Calibri"/>
          <w:color w:val="1A202C"/>
          <w:sz w:val="22"/>
          <w:rtl w:val="1"/>
        </w:rPr>
        <w:t>متابعة المشاريع: https://a23cbb9cce5c46c6.preview.sana.om/</w:t>
      </w:r>
      <w:r>
        <w:rPr>
          <w:rFonts w:ascii="Calibri" w:hAnsi="Calibri"/>
          <w:color w:val="B8956B"/>
          <w:sz w:val="22"/>
        </w:rPr>
        <w:t xml:space="preserve">  •</w:t>
      </w:r>
    </w:p>
    <w:p>
      <w:pPr>
        <w:spacing w:after="60"/>
        <w:ind w:right="504"/>
        <w:jc w:val="right"/>
        <w:bidi w:val="1"/>
      </w:pPr>
      <w:r>
        <w:rPr>
          <w:rFonts w:ascii="Calibri" w:hAnsi="Calibri"/>
          <w:color w:val="1A202C"/>
          <w:sz w:val="22"/>
          <w:rtl w:val="1"/>
        </w:rPr>
        <w:t>إدارة المشاريع — تحليل الملفات: https://a67f79502f9444b1.preview.sana.om/</w:t>
      </w:r>
      <w:r>
        <w:rPr>
          <w:rFonts w:ascii="Calibri" w:hAnsi="Calibri"/>
          <w:color w:val="B8956B"/>
          <w:sz w:val="22"/>
        </w:rPr>
        <w:t xml:space="preserve">  •</w:t>
      </w:r>
    </w:p>
    <w:p>
      <w:pPr>
        <w:spacing w:after="60"/>
        <w:ind w:right="504"/>
        <w:jc w:val="right"/>
        <w:bidi w:val="1"/>
      </w:pPr>
      <w:r>
        <w:rPr>
          <w:rFonts w:ascii="Calibri" w:hAnsi="Calibri"/>
          <w:color w:val="1A202C"/>
          <w:sz w:val="22"/>
          <w:rtl w:val="1"/>
        </w:rPr>
        <w:t>لوحة متابعة إنارة لوى: https://3123d2470967400b.preview.sana.om/</w:t>
      </w:r>
      <w:r>
        <w:rPr>
          <w:rFonts w:ascii="Calibri" w:hAnsi="Calibri"/>
          <w:color w:val="B8956B"/>
          <w:sz w:val="22"/>
        </w:rPr>
        <w:t xml:space="preserve">  •</w:t>
      </w:r>
    </w:p>
    <w:p>
      <w:pPr>
        <w:spacing w:after="60"/>
        <w:ind w:right="504"/>
        <w:jc w:val="right"/>
        <w:bidi w:val="1"/>
      </w:pPr>
      <w:r>
        <w:rPr>
          <w:rFonts w:ascii="Calibri" w:hAnsi="Calibri"/>
          <w:color w:val="1A202C"/>
          <w:sz w:val="22"/>
          <w:rtl w:val="1"/>
        </w:rPr>
        <w:t>رسومات إنارة لوى: لا يوجد رابط حي؛ التشغيل من الحزمة المحفوظة</w:t>
      </w:r>
      <w:r>
        <w:rPr>
          <w:rFonts w:ascii="Calibri" w:hAnsi="Calibri"/>
          <w:color w:val="B8956B"/>
          <w:sz w:val="22"/>
        </w:rPr>
        <w:t xml:space="preserve">  •</w:t>
      </w:r>
    </w:p>
    <w:p>
      <w:pPr>
        <w:pStyle w:val="Heading1"/>
        <w:spacing w:before="360" w:after="160"/>
        <w:jc w:val="right"/>
        <w:keepNext/>
        <w:bidi w:val="1"/>
        <w:pBdr>
          <w:bottom w:val="single" w:sz="12" w:space="6" w:color="B8956B"/>
        </w:pBdr>
      </w:pPr>
      <w:r>
        <w:rPr>
          <w:rFonts w:ascii="Calibri" w:hAnsi="Calibri"/>
          <w:b/>
          <w:color w:val="0A192F"/>
          <w:sz w:val="44"/>
          <w:rtl w:val="1"/>
        </w:rPr>
        <w:t>2. محتويات كل حزمة</w:t>
      </w:r>
    </w:p>
    <w:tbl>
      <w:tblPr>
        <w:tblStyle w:val="TableGrid"/>
        <w:tblW w:type="auto" w:w="0"/>
        <w:tblLayout w:type="autofit"/>
        <w:tblLook w:firstColumn="1" w:firstRow="1" w:lastColumn="0" w:lastRow="0" w:noHBand="0" w:noVBand="1" w:val="04A0"/>
      </w:tblPr>
      <w:tblGrid>
        <w:gridCol w:w="2880"/>
        <w:gridCol w:w="2880"/>
        <w:gridCol w:w="2880"/>
      </w:tblGrid>
      <w:tr>
        <w:tc>
          <w:tcPr>
            <w:tcW w:type="dxa" w:w="2880"/>
            <w:shd w:val="clear" w:color="auto" w:fill="0A192F"/>
            <w:tcBorders>
              <w:top w:val="single" w:sz="4" w:space="0" w:color="0A192F"/>
              <w:left w:val="single" w:sz="4" w:space="0" w:color="0A192F"/>
              <w:bottom w:val="single" w:sz="4" w:space="0" w:color="0A192F"/>
              <w:right w:val="single" w:sz="4" w:space="0" w:color="0A192F"/>
            </w:tcBorders>
          </w:tcPr>
          <w:p>
            <w:pPr>
              <w:spacing w:before="80" w:after="80"/>
              <w:jc w:val="right"/>
              <w:bidi w:val="1"/>
            </w:pPr>
            <w:r/>
            <w:r>
              <w:rPr>
                <w:rFonts w:ascii="Calibri" w:hAnsi="Calibri"/>
                <w:b/>
                <w:color w:val="F8FAFC"/>
                <w:sz w:val="20"/>
                <w:rtl w:val="1"/>
              </w:rPr>
              <w:t>الحزمة</w:t>
            </w:r>
          </w:p>
        </w:tc>
        <w:tc>
          <w:tcPr>
            <w:tcW w:type="dxa" w:w="2880"/>
            <w:shd w:val="clear" w:color="auto" w:fill="0A192F"/>
            <w:tcBorders>
              <w:top w:val="single" w:sz="4" w:space="0" w:color="0A192F"/>
              <w:left w:val="single" w:sz="4" w:space="0" w:color="0A192F"/>
              <w:bottom w:val="single" w:sz="4" w:space="0" w:color="0A192F"/>
              <w:right w:val="single" w:sz="4" w:space="0" w:color="0A192F"/>
            </w:tcBorders>
          </w:tcPr>
          <w:p>
            <w:pPr>
              <w:spacing w:before="80" w:after="80"/>
              <w:jc w:val="right"/>
              <w:bidi w:val="1"/>
            </w:pPr>
            <w:r/>
            <w:r>
              <w:rPr>
                <w:rFonts w:ascii="Calibri" w:hAnsi="Calibri"/>
                <w:b/>
                <w:color w:val="F8FAFC"/>
                <w:sz w:val="20"/>
                <w:rtl w:val="1"/>
              </w:rPr>
              <w:t>المحتوى</w:t>
            </w:r>
          </w:p>
        </w:tc>
        <w:tc>
          <w:tcPr>
            <w:tcW w:type="dxa" w:w="2880"/>
            <w:shd w:val="clear" w:color="auto" w:fill="0A192F"/>
            <w:tcBorders>
              <w:top w:val="single" w:sz="4" w:space="0" w:color="0A192F"/>
              <w:left w:val="single" w:sz="4" w:space="0" w:color="0A192F"/>
              <w:bottom w:val="single" w:sz="4" w:space="0" w:color="0A192F"/>
              <w:right w:val="single" w:sz="4" w:space="0" w:color="0A192F"/>
            </w:tcBorders>
          </w:tcPr>
          <w:p>
            <w:pPr>
              <w:spacing w:before="80" w:after="80"/>
              <w:jc w:val="right"/>
              <w:bidi w:val="1"/>
            </w:pPr>
            <w:r/>
            <w:r>
              <w:rPr>
                <w:rFonts w:ascii="Calibri" w:hAnsi="Calibri"/>
                <w:b/>
                <w:color w:val="F8FAFC"/>
                <w:sz w:val="20"/>
                <w:rtl w:val="1"/>
              </w:rPr>
              <w:t>طريقة التشغيل</w:t>
            </w:r>
          </w:p>
        </w:tc>
      </w:tr>
      <w:tr>
        <w:tc>
          <w:tcPr>
            <w:tcW w:type="dxa" w:w="2880"/>
            <w:shd w:val="clear" w:color="auto" w:fill="F7F5F0"/>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01 — متابعة المشاريع</w:t>
            </w:r>
          </w:p>
        </w:tc>
        <w:tc>
          <w:tcPr>
            <w:tcW w:type="dxa" w:w="2880"/>
            <w:shd w:val="clear" w:color="auto" w:fill="F7F5F0"/>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index.html + assets (حزمة بناء مكتملة)</w:t>
            </w:r>
          </w:p>
        </w:tc>
        <w:tc>
          <w:tcPr>
            <w:tcW w:type="dxa" w:w="2880"/>
            <w:shd w:val="clear" w:color="auto" w:fill="F7F5F0"/>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فك الضغط وفتح index.html في المتصفح</w:t>
            </w:r>
          </w:p>
        </w:tc>
      </w:tr>
      <w:tr>
        <w:tc>
          <w:tcPr>
            <w:tcW w:type="dxa" w:w="2880"/>
            <w:shd w:val="clear" w:color="auto" w:fill="FFFFFF"/>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02 — إدارة المشاريع</w:t>
            </w:r>
          </w:p>
        </w:tc>
        <w:tc>
          <w:tcPr>
            <w:tcW w:type="dxa" w:w="2880"/>
            <w:shd w:val="clear" w:color="auto" w:fill="FFFFFF"/>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ملف HTML واحد مكتفٍ بذاته</w:t>
            </w:r>
          </w:p>
        </w:tc>
        <w:tc>
          <w:tcPr>
            <w:tcW w:type="dxa" w:w="2880"/>
            <w:shd w:val="clear" w:color="auto" w:fill="FFFFFF"/>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فتح الملف مباشرة — لا يحتاج أي ملفات مساندة</w:t>
            </w:r>
          </w:p>
        </w:tc>
      </w:tr>
      <w:tr>
        <w:tc>
          <w:tcPr>
            <w:tcW w:type="dxa" w:w="2880"/>
            <w:shd w:val="clear" w:color="auto" w:fill="F7F5F0"/>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03 — لوحة إنارة لوى</w:t>
            </w:r>
          </w:p>
        </w:tc>
        <w:tc>
          <w:tcPr>
            <w:tcW w:type="dxa" w:w="2880"/>
            <w:shd w:val="clear" w:color="auto" w:fill="F7F5F0"/>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index.html + assets + مجلد docs</w:t>
            </w:r>
          </w:p>
        </w:tc>
        <w:tc>
          <w:tcPr>
            <w:tcW w:type="dxa" w:w="2880"/>
            <w:shd w:val="clear" w:color="auto" w:fill="F7F5F0"/>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فك الضغط كاملًا ثم فتح index.html</w:t>
            </w:r>
          </w:p>
        </w:tc>
      </w:tr>
      <w:tr>
        <w:tc>
          <w:tcPr>
            <w:tcW w:type="dxa" w:w="2880"/>
            <w:shd w:val="clear" w:color="auto" w:fill="FFFFFF"/>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04 — رسومات إنارة لوى</w:t>
            </w:r>
          </w:p>
        </w:tc>
        <w:tc>
          <w:tcPr>
            <w:tcW w:type="dxa" w:w="2880"/>
            <w:shd w:val="clear" w:color="auto" w:fill="FFFFFF"/>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index.html + ملفات DXF + فهرس</w:t>
            </w:r>
          </w:p>
        </w:tc>
        <w:tc>
          <w:tcPr>
            <w:tcW w:type="dxa" w:w="2880"/>
            <w:shd w:val="clear" w:color="auto" w:fill="FFFFFF"/>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فك الضغط كاملًا ثم فتح index.html</w:t>
            </w:r>
          </w:p>
        </w:tc>
      </w:tr>
    </w:tbl>
    <w:p>
      <w:pPr>
        <w:spacing w:after="120"/>
      </w:pPr>
    </w:p>
    <w:tbl>
      <w:tblPr>
        <w:tblW w:type="auto" w:w="0"/>
        <w:tblLook w:firstColumn="1" w:firstRow="1" w:lastColumn="0" w:lastRow="0" w:noHBand="0" w:noVBand="1" w:val="04A0"/>
      </w:tblPr>
      <w:tblGrid>
        <w:gridCol w:w="8640"/>
      </w:tblGrid>
      <w:tr>
        <w:tc>
          <w:tcPr>
            <w:tcW w:type="dxa" w:w="8640"/>
            <w:shd w:val="clear" w:color="auto" w:fill="FFFBEB"/>
            <w:tcBorders>
              <w:top w:val="single" w:sz="4" w:space="0" w:color="FFFBEB"/>
              <w:left w:val="single" w:sz="24" w:space="0" w:color="D97706"/>
              <w:bottom w:val="single" w:sz="4" w:space="0" w:color="FFFBEB"/>
              <w:right w:val="single" w:sz="4" w:space="0" w:color="FFFBEB"/>
            </w:tcBorders>
          </w:tcPr>
          <w:p>
            <w:pPr>
              <w:spacing w:before="120" w:after="120"/>
              <w:jc w:val="right"/>
              <w:bidi w:val="1"/>
            </w:pPr>
            <w:r>
              <w:rPr>
                <w:rFonts w:ascii="Calibri" w:hAnsi="Calibri"/>
                <w:b/>
                <w:color w:val="D97706"/>
                <w:sz w:val="18"/>
              </w:rPr>
              <w:t xml:space="preserve">WARNING  </w:t>
            </w:r>
            <w:r>
              <w:rPr>
                <w:rFonts w:ascii="Calibri" w:hAnsi="Calibri"/>
                <w:color w:val="1A202C"/>
                <w:sz w:val="20"/>
                <w:rtl w:val="1"/>
              </w:rPr>
              <w:t>لا تفصل index.html عن مجلد assets؛ نقل الملف وحده يعطي صفحة بيضاء. انقل المجلد كاملًا بعد فك الضغط.</w:t>
            </w:r>
          </w:p>
        </w:tc>
      </w:tr>
    </w:tbl>
    <w:p>
      <w:pPr>
        <w:spacing w:after="80"/>
      </w:pPr>
    </w:p>
    <w:p>
      <w:pPr>
        <w:pStyle w:val="Heading1"/>
        <w:spacing w:before="360" w:after="160"/>
        <w:jc w:val="right"/>
        <w:keepNext/>
        <w:bidi w:val="1"/>
        <w:pBdr>
          <w:bottom w:val="single" w:sz="12" w:space="6" w:color="B8956B"/>
        </w:pBdr>
      </w:pPr>
      <w:r>
        <w:rPr>
          <w:rFonts w:ascii="Calibri" w:hAnsi="Calibri"/>
          <w:b/>
          <w:color w:val="0A192F"/>
          <w:sz w:val="44"/>
          <w:rtl w:val="1"/>
        </w:rPr>
        <w:t>3. حدود الاستخدام</w:t>
      </w:r>
    </w:p>
    <w:p>
      <w:pPr>
        <w:spacing w:after="160" w:line="276" w:lineRule="auto"/>
        <w:jc w:val="right"/>
        <w:bidi w:val="1"/>
      </w:pPr>
      <w:r>
        <w:rPr>
          <w:rFonts w:ascii="Calibri" w:hAnsi="Calibri"/>
          <w:color w:val="1A202C"/>
          <w:sz w:val="22"/>
          <w:rtl w:val="1"/>
        </w:rPr>
        <w:t>المواقع تعمل بلا خادم ولا قاعدة بيانات. بيانات الموقع الثاني (تحليل الملفات والمطلوب) تُحفظ في متصفح الجهاز نفسه، فلا تنتقل بين الأجهزة ولا بين المستخدمين، ومسح بيانات المتصفح يمحوها. لذلك تُستخدم للاستخدام الفردي والتوثيق السريع، ويُصدَّر CSV دوريًا لحفظ السجل. أما الموقعان 01 و03 فهما واجهتا عرض وتوثيق للبيانات المضمّنة فيهما.</w:t>
      </w:r>
    </w:p>
    <w:p>
      <w:pPr>
        <w:pStyle w:val="Heading1"/>
        <w:spacing w:before="360" w:after="160"/>
        <w:jc w:val="right"/>
        <w:keepNext/>
        <w:bidi w:val="1"/>
        <w:pBdr>
          <w:bottom w:val="single" w:sz="12" w:space="6" w:color="B8956B"/>
        </w:pBdr>
      </w:pPr>
      <w:r>
        <w:rPr>
          <w:rFonts w:ascii="Calibri" w:hAnsi="Calibri"/>
          <w:b/>
          <w:color w:val="0A192F"/>
          <w:sz w:val="44"/>
          <w:rtl w:val="1"/>
        </w:rPr>
        <w:t>4. التحديث</w:t>
      </w:r>
    </w:p>
    <w:p>
      <w:pPr>
        <w:spacing w:after="160" w:line="276" w:lineRule="auto"/>
        <w:jc w:val="right"/>
        <w:bidi w:val="1"/>
      </w:pPr>
      <w:r>
        <w:rPr>
          <w:rFonts w:ascii="Calibri" w:hAnsi="Calibri"/>
          <w:color w:val="1A202C"/>
          <w:sz w:val="22"/>
          <w:rtl w:val="1"/>
        </w:rPr>
        <w:t>عند تعديل أي موقع يُعاد بناء حزمته ورفعها بدل النسخة السابقة في المجلد نفسه، مع تحديث هذا الدليل بالتاريخ. ويُحتفظ بنسخة واحدة سارية لكل موقع لتجنب الالتباس بين الإصدارات.</w:t>
      </w:r>
    </w:p>
    <w:sectPr w:rsidR="00FC693F" w:rsidRPr="0006063C" w:rsidSect="00034616">
      <w:headerReference w:type="default" r:id="rId9"/>
      <w:headerReference w:type="first" r:id="rId10"/>
      <w:footerReference w:type="default" r:id="rId11"/>
      <w:pgSz w:w="12240" w:h="15840"/>
      <w:pgMar w:top="1440" w:right="1800" w:bottom="1440" w:left="180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Bdr>
        <w:top w:val="single" w:sz="6" w:space="4" w:color="B8956B"/>
      </w:pBdr>
    </w:pPr>
    <w:r>
      <w:rPr>
        <w:rFonts w:ascii="Calibri" w:hAnsi="Calibri"/>
        <w:color w:val="1B3A5F"/>
        <w:sz w:val="18"/>
      </w:rPr>
      <w:t xml:space="preserve">Page </w:t>
    </w:r>
    <w:r>
      <w:rPr>
        <w:rFonts w:ascii="Calibri" w:hAnsi="Calibri"/>
        <w:color w:val="1B3A5F"/>
        <w:sz w:val="18"/>
      </w:rPr>
      <w:fldChar w:fldCharType="begin"/>
      <w:instrText>PAGE</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Bdr>
        <w:bottom w:val="single" w:sz="8" w:space="4" w:color="B8956B"/>
      </w:pBdr>
    </w:pPr>
    <w:r>
      <w:rPr>
        <w:rFonts w:ascii="Calibri" w:hAnsi="Calibri"/>
        <w:color w:val="1B3A5F"/>
        <w:sz w:val="16"/>
      </w:rPr>
      <w:t>دليل المواقع التفاعلية</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